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Between Chinatown and Commonwealth: The Diverse Development of Overseas Chinese Communities in Manchester and Liverpool</w:t>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Researcher:</w:t>
      </w:r>
    </w:p>
    <w:p w:rsidR="00000000" w:rsidDel="00000000" w:rsidP="00000000" w:rsidRDefault="00000000" w:rsidRPr="00000000" w14:paraId="0000000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Hung Tak Wai (</w:t>
      </w:r>
      <w:r w:rsidDel="00000000" w:rsidR="00000000" w:rsidRPr="00000000">
        <w:rPr>
          <w:rFonts w:ascii="MS Mincho" w:cs="MS Mincho" w:eastAsia="MS Mincho" w:hAnsi="MS Mincho"/>
          <w:rtl w:val="0"/>
        </w:rPr>
        <w:t xml:space="preserve">孔德維</w:t>
      </w:r>
      <w:r w:rsidDel="00000000" w:rsidR="00000000" w:rsidRPr="00000000">
        <w:rPr>
          <w:rFonts w:ascii="Times New Roman" w:cs="Times New Roman" w:eastAsia="Times New Roman" w:hAnsi="Times New Roman"/>
          <w:rtl w:val="0"/>
        </w:rPr>
        <w:t xml:space="preserve">)</w:t>
        <w:br w:type="textWrapping"/>
        <w:t xml:space="preserve">Assistant Professor, Waseda University Institute for Advanced Study (WIAS), Tokyo</w:t>
      </w:r>
    </w:p>
    <w:p w:rsidR="00000000" w:rsidDel="00000000" w:rsidP="00000000" w:rsidRDefault="00000000" w:rsidRPr="00000000" w14:paraId="00000004">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1"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Background and Significance</w:t>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migration of Chinese communities to the United Kingdom, especially to its northern industrial cities such as Manchester and Liverpool, represents a crucial yet under-examined chapter in the global history of overseas Chinese. While London’s Chinatown has received some scholarly and public attention, the dynamic histories of the North-West—where Chinese and broader Asian communities evolved amid industrial decline, decolonisation, and multiculturalism—remain largely peripheral in mainstream diaspora studies.</w:t>
      </w:r>
    </w:p>
    <w:p w:rsidR="00000000" w:rsidDel="00000000" w:rsidP="00000000" w:rsidRDefault="00000000" w:rsidRPr="00000000" w14:paraId="0000000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Manchester and Liverpool were not only entry points for early Chinese seamen and traders but also later became centres for post-war Commonwealth migration and higher education. The overlapping trajectories of Cantonese, Hakka, Malaysian, Singaporean, and Hong Kong migrants—together with newer arrivals from Mainland China and Taiwan—reflect the continuous reinvention of </w:t>
      </w:r>
      <w:r w:rsidDel="00000000" w:rsidR="00000000" w:rsidRPr="00000000">
        <w:rPr>
          <w:rFonts w:ascii="Times New Roman" w:cs="Times New Roman" w:eastAsia="Times New Roman" w:hAnsi="Times New Roman"/>
          <w:i w:val="1"/>
          <w:iCs w:val="1"/>
          <w:rtl w:val="0"/>
        </w:rPr>
        <w:t xml:space="preserve">Chineseness</w:t>
      </w:r>
      <w:r w:rsidDel="00000000" w:rsidR="00000000" w:rsidRPr="00000000">
        <w:rPr>
          <w:rFonts w:ascii="Times New Roman" w:cs="Times New Roman" w:eastAsia="Times New Roman" w:hAnsi="Times New Roman"/>
          <w:rtl w:val="0"/>
        </w:rPr>
        <w:t xml:space="preserve"> in multi-ethnic, post-imperial Britain.</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builds upon my broader research on </w:t>
      </w:r>
      <w:r w:rsidDel="00000000" w:rsidR="00000000" w:rsidRPr="00000000">
        <w:rPr>
          <w:rFonts w:ascii="Times New Roman" w:cs="Times New Roman" w:eastAsia="Times New Roman" w:hAnsi="Times New Roman"/>
          <w:b w:val="1"/>
          <w:bCs w:val="1"/>
          <w:rtl w:val="0"/>
        </w:rPr>
        <w:t xml:space="preserve">interethnic participation and religious/cultural heritage in maritime Asia</w:t>
      </w:r>
      <w:r w:rsidDel="00000000" w:rsidR="00000000" w:rsidRPr="00000000">
        <w:rPr>
          <w:rFonts w:ascii="Times New Roman" w:cs="Times New Roman" w:eastAsia="Times New Roman" w:hAnsi="Times New Roman"/>
          <w:rtl w:val="0"/>
        </w:rPr>
        <w:t xml:space="preserve">, extending the analysis to the North Atlantic context. By situating British Chinese associations within a trans-Asian network that includes Malacca, Nagasaki, Batavia, and Tainan, the project highlights how notions of community, identity, and belonging evolve once migrants leave “China” behind and encounter new frameworks of citizenship, race, and religion.</w:t>
      </w:r>
    </w:p>
    <w:p w:rsidR="00000000" w:rsidDel="00000000" w:rsidP="00000000" w:rsidRDefault="00000000" w:rsidRPr="00000000" w14:paraId="00000009">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3"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Research Objectives</w:t>
      </w:r>
    </w:p>
    <w:p w:rsidR="00000000" w:rsidDel="00000000" w:rsidP="00000000" w:rsidRDefault="00000000" w:rsidRPr="00000000" w14:paraId="0000000B">
      <w:pPr>
        <w:numPr>
          <w:ilvl w:val="0"/>
          <w:numId w:val="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w:t>
      </w:r>
      <w:r w:rsidDel="00000000" w:rsidR="00000000" w:rsidRPr="00000000">
        <w:rPr>
          <w:rFonts w:ascii="Times New Roman" w:cs="Times New Roman" w:eastAsia="Times New Roman" w:hAnsi="Times New Roman"/>
          <w:rtl w:val="0"/>
        </w:rPr>
        <w:t xml:space="preserve"> the historical development and present activities of Chinese and Asian community organisations in Manchester and Liverpool.</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Analyse</w:t>
      </w:r>
      <w:r w:rsidDel="00000000" w:rsidR="00000000" w:rsidRPr="00000000">
        <w:rPr>
          <w:rFonts w:ascii="Times New Roman" w:cs="Times New Roman" w:eastAsia="Times New Roman" w:hAnsi="Times New Roman"/>
          <w:rtl w:val="0"/>
        </w:rPr>
        <w:t xml:space="preserve"> how these associations define “Chinese” and “Asian” identities through cultural, religious, educational, and welfare practices.</w:t>
      </w:r>
    </w:p>
    <w:p w:rsidR="00000000" w:rsidDel="00000000" w:rsidP="00000000" w:rsidRDefault="00000000" w:rsidRPr="00000000" w14:paraId="0000000D">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Compare</w:t>
      </w:r>
      <w:r w:rsidDel="00000000" w:rsidR="00000000" w:rsidRPr="00000000">
        <w:rPr>
          <w:rFonts w:ascii="Times New Roman" w:cs="Times New Roman" w:eastAsia="Times New Roman" w:hAnsi="Times New Roman"/>
          <w:rtl w:val="0"/>
        </w:rPr>
        <w:t xml:space="preserve"> British Chinese associational culture with Southeast Asian and East Asian models, tracing continuities and divergences in community governance, philanthropy, and cultural diplomacy.</w:t>
      </w:r>
    </w:p>
    <w:p w:rsidR="00000000" w:rsidDel="00000000" w:rsidP="00000000" w:rsidRDefault="00000000" w:rsidRPr="00000000" w14:paraId="0000000E">
      <w:pPr>
        <w:numPr>
          <w:ilvl w:val="0"/>
          <w:numId w:val="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Contribute</w:t>
      </w:r>
      <w:r w:rsidDel="00000000" w:rsidR="00000000" w:rsidRPr="00000000">
        <w:rPr>
          <w:rFonts w:ascii="Times New Roman" w:cs="Times New Roman" w:eastAsia="Times New Roman" w:hAnsi="Times New Roman"/>
          <w:rtl w:val="0"/>
        </w:rPr>
        <w:t xml:space="preserve"> empirical data and oral histories to an ongoing comparative project on “Empowering Minority Heritage in East Asian Port Cities,” supported by Waseda University and partner institutions.</w:t>
      </w:r>
    </w:p>
    <w:p w:rsidR="00000000" w:rsidDel="00000000" w:rsidP="00000000" w:rsidRDefault="00000000" w:rsidRPr="00000000" w14:paraId="0000000F">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2"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Methodology</w:t>
      </w:r>
    </w:p>
    <w:p w:rsidR="00000000" w:rsidDel="00000000" w:rsidP="00000000" w:rsidRDefault="00000000" w:rsidRPr="00000000" w14:paraId="00000011">
      <w:pPr>
        <w:numPr>
          <w:ilvl w:val="0"/>
          <w:numId w:val="2"/>
        </w:numPr>
        <w:spacing w:after="0" w:before="280" w:line="240" w:lineRule="auto"/>
        <w:ind w:left="720" w:hanging="360"/>
        <w:rPr/>
      </w:pPr>
      <w:r w:rsidDel="00000000" w:rsidR="00000000" w:rsidRPr="00000000">
        <w:rPr>
          <w:rFonts w:ascii="Times New Roman" w:cs="Times New Roman" w:eastAsia="Times New Roman" w:hAnsi="Times New Roman"/>
          <w:b w:val="1"/>
          <w:bCs w:val="1"/>
          <w:rtl w:val="0"/>
        </w:rPr>
        <w:t xml:space="preserve">Fieldwork Period:</w:t>
      </w:r>
      <w:r w:rsidDel="00000000" w:rsidR="00000000" w:rsidRPr="00000000">
        <w:rPr>
          <w:rFonts w:ascii="Times New Roman" w:cs="Times New Roman" w:eastAsia="Times New Roman" w:hAnsi="Times New Roman"/>
          <w:rtl w:val="0"/>
        </w:rPr>
        <w:t xml:space="preserve"> March 2026 (approx. 1 weeks)</w:t>
      </w:r>
    </w:p>
    <w:p w:rsidR="00000000" w:rsidDel="00000000" w:rsidP="00000000" w:rsidRDefault="00000000" w:rsidRPr="00000000" w14:paraId="00000012">
      <w:pPr>
        <w:numPr>
          <w:ilvl w:val="0"/>
          <w:numId w:val="2"/>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Sites:</w:t>
      </w:r>
      <w:r w:rsidDel="00000000" w:rsidR="00000000" w:rsidRPr="00000000">
        <w:rPr>
          <w:rFonts w:ascii="Times New Roman" w:cs="Times New Roman" w:eastAsia="Times New Roman" w:hAnsi="Times New Roman"/>
          <w:rtl w:val="0"/>
        </w:rPr>
        <w:t xml:space="preserve"> Manchester, Liverpool, and nearby towns with Chinese community presence (e.g. Salford, Wirral).</w:t>
      </w:r>
    </w:p>
    <w:p w:rsidR="00000000" w:rsidDel="00000000" w:rsidP="00000000" w:rsidRDefault="00000000" w:rsidRPr="00000000" w14:paraId="00000013">
      <w:pPr>
        <w:numPr>
          <w:ilvl w:val="0"/>
          <w:numId w:val="2"/>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Approach:</w:t>
      </w:r>
      <w:r w:rsidDel="00000000" w:rsidR="00000000" w:rsidRPr="00000000">
        <w:rPr>
          <w:rtl w:val="0"/>
        </w:rPr>
      </w:r>
    </w:p>
    <w:p w:rsidR="00000000" w:rsidDel="00000000" w:rsidP="00000000" w:rsidRDefault="00000000" w:rsidRPr="00000000" w14:paraId="00000014">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rtl w:val="0"/>
        </w:rPr>
        <w:t xml:space="preserve">Conduct semi-structured interviews with representatives of Chinese and Asian associations.</w:t>
      </w:r>
    </w:p>
    <w:p w:rsidR="00000000" w:rsidDel="00000000" w:rsidP="00000000" w:rsidRDefault="00000000" w:rsidRPr="00000000" w14:paraId="00000015">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rtl w:val="0"/>
        </w:rPr>
        <w:t xml:space="preserve">Visit cultural and religious institutions such as temples, churches, heritage centres, and community hubs.</w:t>
      </w:r>
    </w:p>
    <w:p w:rsidR="00000000" w:rsidDel="00000000" w:rsidP="00000000" w:rsidRDefault="00000000" w:rsidRPr="00000000" w14:paraId="00000016">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rtl w:val="0"/>
        </w:rPr>
        <w:t xml:space="preserve">Review local archives (Manchester Central Library, Liverpool Record Office, University of Manchester Special Collections) for early documentation of Chinese seamen, merchants, and students.</w:t>
      </w:r>
    </w:p>
    <w:p w:rsidR="00000000" w:rsidDel="00000000" w:rsidP="00000000" w:rsidRDefault="00000000" w:rsidRPr="00000000" w14:paraId="00000017">
      <w:pPr>
        <w:numPr>
          <w:ilvl w:val="1"/>
          <w:numId w:val="2"/>
        </w:numPr>
        <w:spacing w:after="0" w:before="0" w:line="240" w:lineRule="auto"/>
        <w:ind w:left="1440" w:hanging="360"/>
        <w:rPr/>
      </w:pPr>
      <w:r w:rsidDel="00000000" w:rsidR="00000000" w:rsidRPr="00000000">
        <w:rPr>
          <w:rFonts w:ascii="Times New Roman" w:cs="Times New Roman" w:eastAsia="Times New Roman" w:hAnsi="Times New Roman"/>
          <w:rtl w:val="0"/>
        </w:rPr>
        <w:t xml:space="preserve">Collect visual and spatial data on community architecture and neighbourhood transformation (Chinatown gateways, memorial halls, cultural festivals).</w:t>
      </w:r>
    </w:p>
    <w:p w:rsidR="00000000" w:rsidDel="00000000" w:rsidP="00000000" w:rsidRDefault="00000000" w:rsidRPr="00000000" w14:paraId="00000018">
      <w:pPr>
        <w:numPr>
          <w:ilvl w:val="1"/>
          <w:numId w:val="2"/>
        </w:numPr>
        <w:spacing w:after="280" w:before="0" w:line="240" w:lineRule="auto"/>
        <w:ind w:left="1440" w:hanging="360"/>
        <w:rPr/>
      </w:pPr>
      <w:r w:rsidDel="00000000" w:rsidR="00000000" w:rsidRPr="00000000">
        <w:rPr>
          <w:rFonts w:ascii="Times New Roman" w:cs="Times New Roman" w:eastAsia="Times New Roman" w:hAnsi="Times New Roman"/>
          <w:rtl w:val="0"/>
        </w:rPr>
        <w:t xml:space="preserve">Compare interview findings with field data from Asian port-cities (Batavia, Tainan, Nagasaki, Hirado) to examine how diasporic models travel and adapt.</w:t>
      </w:r>
    </w:p>
    <w:p w:rsidR="00000000" w:rsidDel="00000000" w:rsidP="00000000" w:rsidRDefault="00000000" w:rsidRPr="00000000" w14:paraId="00000019">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5"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Expected Outcomes</w:t>
      </w:r>
    </w:p>
    <w:p w:rsidR="00000000" w:rsidDel="00000000" w:rsidP="00000000" w:rsidRDefault="00000000" w:rsidRPr="00000000" w14:paraId="0000001B">
      <w:pPr>
        <w:numPr>
          <w:ilvl w:val="0"/>
          <w:numId w:val="3"/>
        </w:numPr>
        <w:spacing w:after="0" w:before="280" w:line="240" w:lineRule="auto"/>
        <w:ind w:left="720" w:hanging="360"/>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comparative analytical paper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“After the Empire: Community-Making and the Chinese Diaspora in Post-Industrial Britain”</w:t>
      </w:r>
      <w:r w:rsidDel="00000000" w:rsidR="00000000" w:rsidRPr="00000000">
        <w:rPr>
          <w:rFonts w:ascii="Times New Roman" w:cs="Times New Roman" w:eastAsia="Times New Roman" w:hAnsi="Times New Roman"/>
          <w:rtl w:val="0"/>
        </w:rPr>
        <w:t xml:space="preserve"> (target journal: </w:t>
      </w:r>
      <w:r w:rsidDel="00000000" w:rsidR="00000000" w:rsidRPr="00000000">
        <w:rPr>
          <w:rFonts w:ascii="Times New Roman" w:cs="Times New Roman" w:eastAsia="Times New Roman" w:hAnsi="Times New Roman"/>
          <w:i w:val="1"/>
          <w:iCs w:val="1"/>
          <w:rtl w:val="0"/>
        </w:rPr>
        <w:t xml:space="preserve">Journal of Chinese Overseas</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i w:val="1"/>
          <w:iCs w:val="1"/>
          <w:rtl w:val="0"/>
        </w:rPr>
        <w:t xml:space="preserve">Modern Asian Studies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numPr>
          <w:ilvl w:val="0"/>
          <w:numId w:val="3"/>
        </w:numPr>
        <w:spacing w:after="0" w:before="0" w:line="240" w:lineRule="auto"/>
        <w:ind w:left="720" w:hanging="360"/>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public-facing heritage dataset</w:t>
      </w:r>
      <w:r w:rsidDel="00000000" w:rsidR="00000000" w:rsidRPr="00000000">
        <w:rPr>
          <w:rFonts w:ascii="Times New Roman" w:cs="Times New Roman" w:eastAsia="Times New Roman" w:hAnsi="Times New Roman"/>
          <w:rtl w:val="0"/>
        </w:rPr>
        <w:t xml:space="preserve"> of digitised materials and interview excerpts, to be donated to Waseda University Library and partner institutions.</w:t>
      </w:r>
    </w:p>
    <w:p w:rsidR="00000000" w:rsidDel="00000000" w:rsidP="00000000" w:rsidRDefault="00000000" w:rsidRPr="00000000" w14:paraId="0000001D">
      <w:pPr>
        <w:numPr>
          <w:ilvl w:val="0"/>
          <w:numId w:val="3"/>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Presentations</w:t>
      </w:r>
      <w:r w:rsidDel="00000000" w:rsidR="00000000" w:rsidRPr="00000000">
        <w:rPr>
          <w:rFonts w:ascii="Times New Roman" w:cs="Times New Roman" w:eastAsia="Times New Roman" w:hAnsi="Times New Roman"/>
          <w:rtl w:val="0"/>
        </w:rPr>
        <w:t xml:space="preserve"> at the Japan Society for Immigration Studies (</w:t>
      </w:r>
      <w:r w:rsidDel="00000000" w:rsidR="00000000" w:rsidRPr="00000000">
        <w:rPr>
          <w:rFonts w:ascii="MS Mincho" w:cs="MS Mincho" w:eastAsia="MS Mincho" w:hAnsi="MS Mincho"/>
          <w:rtl w:val="0"/>
        </w:rPr>
        <w:t xml:space="preserve">日本移民学会</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rtl w:val="0"/>
        </w:rPr>
        <w:t xml:space="preserve">Contribution to the </w:t>
      </w:r>
      <w:r w:rsidDel="00000000" w:rsidR="00000000" w:rsidRPr="00000000">
        <w:rPr>
          <w:rFonts w:ascii="Times New Roman" w:cs="Times New Roman" w:eastAsia="Times New Roman" w:hAnsi="Times New Roman"/>
          <w:b w:val="1"/>
          <w:bCs w:val="1"/>
          <w:rtl w:val="0"/>
        </w:rPr>
        <w:t xml:space="preserve">“Unfamiliar Neighbours”</w:t>
      </w:r>
      <w:r w:rsidDel="00000000" w:rsidR="00000000" w:rsidRPr="00000000">
        <w:rPr>
          <w:rFonts w:ascii="Times New Roman" w:cs="Times New Roman" w:eastAsia="Times New Roman" w:hAnsi="Times New Roman"/>
          <w:rtl w:val="0"/>
        </w:rPr>
        <w:t xml:space="preserve"> project (Waseda, 2026), situating British experiences within a trans-Asian dialogue on minority heritage.</w:t>
      </w:r>
    </w:p>
    <w:p w:rsidR="00000000" w:rsidDel="00000000" w:rsidP="00000000" w:rsidRDefault="00000000" w:rsidRPr="00000000" w14:paraId="0000001F">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4"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Broader Contribution</w:t>
      </w:r>
    </w:p>
    <w:p w:rsidR="00000000" w:rsidDel="00000000" w:rsidP="00000000" w:rsidRDefault="00000000" w:rsidRPr="00000000" w14:paraId="0000002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project extends the study of overseas Chinese beyond the Asia–Pacific, revealing how cultural diversity and diasporic imagination interact with Britain’s multicultural landscape. It proposes a </w:t>
      </w:r>
      <w:r w:rsidDel="00000000" w:rsidR="00000000" w:rsidRPr="00000000">
        <w:rPr>
          <w:rFonts w:ascii="Times New Roman" w:cs="Times New Roman" w:eastAsia="Times New Roman" w:hAnsi="Times New Roman"/>
          <w:i w:val="1"/>
          <w:iCs w:val="1"/>
          <w:rtl w:val="0"/>
        </w:rPr>
        <w:t xml:space="preserve">trans-regional heritage framework</w:t>
      </w:r>
      <w:r w:rsidDel="00000000" w:rsidR="00000000" w:rsidRPr="00000000">
        <w:rPr>
          <w:rFonts w:ascii="Times New Roman" w:cs="Times New Roman" w:eastAsia="Times New Roman" w:hAnsi="Times New Roman"/>
          <w:rtl w:val="0"/>
        </w:rPr>
        <w:t xml:space="preserve"> that links industrial port cities across continents—Malacca, Nagasaki, and Liverpool—as parallel theatres where the meaning of “Chinese” was continually re-negotiated. The findings will enrich both academic scholarship and community heritage initiatives, offering new perspectives on integration, cultural memory, and the global circulation of identity.</w:t>
      </w:r>
    </w:p>
    <w:p w:rsidR="00000000" w:rsidDel="00000000" w:rsidP="00000000" w:rsidRDefault="00000000" w:rsidRPr="00000000" w14:paraId="00000022">
      <w:pPr>
        <w:spacing w:after="0" w:before="0" w:line="240" w:lineRule="auto"/>
        <w:rPr>
          <w:rFonts w:ascii="Times New Roman" w:cs="Times New Roman" w:eastAsia="Times New Roman" w:hAnsi="Times New Roman"/>
        </w:rPr>
      </w:pPr>
      <w:r w:rsidDel="00000000" w:rsidR="00000000" w:rsidRPr="00000000">
        <w:rPr/>
        <mc:AlternateContent>
          <mc:Choice Requires="wps">
            <w:drawing>
              <wp:inline distB="0" distT="0" distL="0" distR="0">
                <wp:extent cx="5731560" cy="720"/>
                <wp:effectExtent b="0" l="0" r="0" t="0"/>
                <wp:docPr id="6" name=""/>
                <a:graphic>
                  <a:graphicData uri="http://schemas.microsoft.com/office/word/2010/wordprocessingShape">
                    <wps:wsp>
                      <wps:cNvSpPr/>
                      <wps:spPr>
                        <a:xfrm>
                          <a:off x="0" y="0"/>
                          <a:ext cx="5731560" cy="720"/>
                        </a:xfrm>
                        <a:prstGeom prst="rect">
                          <a:avLst/>
                        </a:prstGeom>
                        <a:solidFill>
                          <a:srgbClr val="A0A0A0"/>
                        </a:solidFill>
                        <a:ln>
                          <a:noFill/>
                        </a:ln>
                      </wps:spPr>
                      <wps:bodyPr/>
                    </wps:wsp>
                  </a:graphicData>
                </a:graphic>
              </wp:inline>
            </w:drawing>
          </mc:Choice>
          <mc:Fallback>
            <w:drawing>
              <wp:inline distB="0" distT="0" distL="0" distR="0">
                <wp:extent cx="5731560" cy="720"/>
                <wp:effectExtent b="0" l="0" r="0" t="0"/>
                <wp:docPr id="6"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731560" cy="7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3">
      <w:pPr>
        <w:spacing w:after="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24">
      <w:pPr>
        <w:spacing w:after="0" w:before="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25">
      <w:pPr>
        <w:spacing w:after="280" w:before="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Research Team</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Convener:</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HUNG Tak Wai, Waseda University</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BAK Jia How, Southern University College</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Yi Nga, University of Tübingen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CHEUNG Tak Yu, Damian, University of Edinburgh</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Kwan Yuk Sing, University of Bedfordshire</w:t>
      </w:r>
    </w:p>
    <w:p w:rsidR="00000000" w:rsidDel="00000000" w:rsidP="00000000" w:rsidRDefault="00000000" w:rsidRPr="00000000" w14:paraId="0000002D">
      <w:pPr>
        <w:spacing w:after="160" w:before="0" w:lineRule="auto"/>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MS Mincho"/>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1-21-1 Nishiwaseda, Shinjuku-ku, Tokyo 169-0051, JAPAN https://www.waseda.jp/inst/wias/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Tel.:+81-3-5286-2460 Fax:+81-3-5286-2470 Email: wias-info@list.waseda.jp</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1-21-1 Nishiwaseda, Shinjuku-ku, Tokyo 169-0051, JAPAN https://www.waseda.jp/inst/wias/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Tel.:+81-3-5286-2460 Fax:+81-3-5286-2470 Email: wias-info@list.waseda.jp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731510" cy="713105"/>
          <wp:effectExtent b="0" l="0" r="0" t="0"/>
          <wp:docPr descr="A logo with a red border&#10;&#10;Description automatically generated with medium confidence" id="7" name="image6.png"/>
          <a:graphic>
            <a:graphicData uri="http://schemas.openxmlformats.org/drawingml/2006/picture">
              <pic:pic>
                <pic:nvPicPr>
                  <pic:cNvPr descr="A logo with a red border&#10;&#10;Description automatically generated with medium confidence" id="0" name="image6.png"/>
                  <pic:cNvPicPr preferRelativeResize="0"/>
                </pic:nvPicPr>
                <pic:blipFill>
                  <a:blip r:embed="rId1"/>
                  <a:srcRect b="0" l="0" r="0" t="0"/>
                  <a:stretch>
                    <a:fillRect/>
                  </a:stretch>
                </pic:blipFill>
                <pic:spPr>
                  <a:xfrm>
                    <a:off x="0" y="0"/>
                    <a:ext cx="5731510" cy="71310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731510" cy="713105"/>
          <wp:effectExtent b="0" l="0" r="0" t="0"/>
          <wp:docPr descr="A logo with a red border&#10;&#10;Description automatically generated with medium confidence" id="8" name="image6.png"/>
          <a:graphic>
            <a:graphicData uri="http://schemas.openxmlformats.org/drawingml/2006/picture">
              <pic:pic>
                <pic:nvPicPr>
                  <pic:cNvPr descr="A logo with a red border&#10;&#10;Description automatically generated with medium confidence" id="0" name="image6.png"/>
                  <pic:cNvPicPr preferRelativeResize="0"/>
                </pic:nvPicPr>
                <pic:blipFill>
                  <a:blip r:embed="rId1"/>
                  <a:srcRect b="0" l="0" r="0" t="0"/>
                  <a:stretch>
                    <a:fillRect/>
                  </a:stretch>
                </pic:blipFill>
                <pic:spPr>
                  <a:xfrm>
                    <a:off x="0" y="0"/>
                    <a:ext cx="5731510" cy="7131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H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